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无锡经济开发区太湖街道利农社区工作站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无锡经济开发区太湖街道利农社区工作站核酸检测房等</w:t>
      </w:r>
      <w:r>
        <w:rPr>
          <w:rFonts w:hint="eastAsia" w:ascii="宋体" w:hAnsi="宋体" w:eastAsia="宋体" w:cs="宋体"/>
          <w:sz w:val="21"/>
          <w:szCs w:val="21"/>
        </w:rPr>
        <w:t>资产的残值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72468F8"/>
    <w:rsid w:val="28F55C3D"/>
    <w:rsid w:val="29DD2DD9"/>
    <w:rsid w:val="2F5036BB"/>
    <w:rsid w:val="2F8F0F98"/>
    <w:rsid w:val="348668D1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1810</Characters>
  <Lines>13</Lines>
  <Paragraphs>3</Paragraphs>
  <TotalTime>0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2023-04-07T06:01:18Z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2C2ADB68EC274E39AD4F0F7781F7146B_13</vt:lpwstr>
  </property>
</Properties>
</file>